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МЕТОДИЧЕСКИЕ РЕКОМЕНДАЦИИ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О ПОРЯДКЕ УВЕДОМЛЕНИЯ ПРЕДСТАВИТЕЛЯ НАНИМАТЕЛЯ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(РАБОТОДАТЕЛЯ) О ФАКТАХ ОБРАЩЕНИЯ В ЦЕЛЯХ СКЛОНЕНИЯ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ГОСУДАРСТВЕННОГО ИЛИ МУНИЦИПАЛЬНОГО СЛУЖАЩЕГО К СОВЕРШЕНИЮ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 xml:space="preserve">КОРРУПЦИОННЫХ ПРАВОНАРУШЕНИЙ, </w:t>
      </w:r>
      <w:proofErr w:type="gramStart"/>
      <w:r w:rsidRPr="009E75B2">
        <w:rPr>
          <w:rFonts w:ascii="Arial" w:hAnsi="Arial" w:cs="Arial"/>
          <w:color w:val="0E2F43"/>
          <w:sz w:val="18"/>
          <w:szCs w:val="18"/>
        </w:rPr>
        <w:t>ВКЛЮЧАЮЩИЕ</w:t>
      </w:r>
      <w:proofErr w:type="gramEnd"/>
      <w:r w:rsidRPr="009E75B2">
        <w:rPr>
          <w:rFonts w:ascii="Arial" w:hAnsi="Arial" w:cs="Arial"/>
          <w:color w:val="0E2F43"/>
          <w:sz w:val="18"/>
          <w:szCs w:val="18"/>
        </w:rPr>
        <w:t xml:space="preserve"> ПЕРЕЧЕНЬ СВЕДЕНИЙ,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proofErr w:type="gramStart"/>
      <w:r w:rsidRPr="009E75B2">
        <w:rPr>
          <w:rFonts w:ascii="Arial" w:hAnsi="Arial" w:cs="Arial"/>
          <w:color w:val="0E2F43"/>
          <w:sz w:val="18"/>
          <w:szCs w:val="18"/>
        </w:rPr>
        <w:t>СОДЕРЖАЩИХСЯ В УВЕДОМЛЕНИЯХ, ВОПРОСЫ ОРГАНИЗАЦИИ ПРОВЕРКИ</w:t>
      </w:r>
      <w:proofErr w:type="gramEnd"/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center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ЭТИХ СВЕДЕНИЙ И ПОРЯДКА РЕГИСТРАЦИИ УВЕДОМЛЕНИЙ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 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части 5 статьи 9 Федерального закона от 25 декабря 2008 г. N 273-ФЗ "О противодействии коррупции".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приложению N 1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Конкретные сроки уведомления устанавливаются представителем нанимателя (работодателем).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3. Перечень сведений, подлежащих отражению в уведомлении, должен содержать: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- фамилию, имя, отчество, должность, место жительства и телефон лица, направившего уведомление;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пункте 10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- все известные сведения о физическом (юридическом) лице, склоняющем к коррупционному правонарушению;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(приложение N 2).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Талон-уведомление состоит из двух частей: корешка талона-уведомления и талона-уведомления (приложение N 3).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Отказ в регистрации уведомления, а также невыдача талона-уведомления не допускается.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lastRenderedPageBreak/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"О государственной защите потерпевших, свидетелей и иных участников уголовного судопроизводства".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9E75B2" w:rsidRPr="009E75B2" w:rsidRDefault="009E75B2" w:rsidP="009E75B2">
      <w:pPr>
        <w:pStyle w:val="a5"/>
        <w:shd w:val="clear" w:color="auto" w:fill="FFFFFF"/>
        <w:spacing w:before="112" w:beforeAutospacing="0" w:after="112" w:afterAutospacing="0"/>
        <w:jc w:val="both"/>
        <w:rPr>
          <w:rFonts w:ascii="Arial" w:hAnsi="Arial" w:cs="Arial"/>
          <w:color w:val="0E2F43"/>
          <w:sz w:val="18"/>
          <w:szCs w:val="18"/>
        </w:rPr>
      </w:pPr>
      <w:r w:rsidRPr="009E75B2">
        <w:rPr>
          <w:rFonts w:ascii="Arial" w:hAnsi="Arial" w:cs="Arial"/>
          <w:color w:val="0E2F43"/>
          <w:sz w:val="18"/>
          <w:szCs w:val="18"/>
        </w:rPr>
        <w:t>В случае привлечения к дисциплинарной ответственности государственного или муниципального служащего, указанного в абзаце первом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подпунктом "в"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br/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jc w:val="right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Приложение N 1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 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 (Ф.И.О., должность представителя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     нанимателя (работодателя))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 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lastRenderedPageBreak/>
        <w:t>                                     (наименование государственного органа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     или органа местного самоуправления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 (аппарата избирательной комиссии))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 От 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 (Ф.И.О., должность государственного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 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 или муниципального служащего, место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         жительства, телефон)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     УВЕДОМЛЕНИЕ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 о факте обращения в целях склонения государственного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 или муниципального служащего к совершению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 коррупционных правонарушений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Сообщаю, что: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1. 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 (описание обстоятельств, при которых стало известно о случаях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 обращения к государственному или муниципальному служащему в связи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с исполнением им служебных обязанностей каких-либо лиц в целях склонения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 его к совершению коррупционных правонарушений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 (дата, место, время, другие условия))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__________________________________________________________________________.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2. 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 (подробные сведения о коррупционных правонарушениях, которые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должен был бы совершить государственный или муниципальный служащий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 по просьбе обратившихся лиц)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__________________________________________________________________________.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3. 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 (все известные сведения о физическом (юридическом) лице,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 склоняющем к коррупционному правонарушению)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__________________________________________________________________________.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4. 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 (способ и обстоятельства склонения к коррупционному правонарушению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 (подкуп, угроза, обман и т.д.), а также информация об отказе (согласии)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 принять предложение лица о совершении коррупционного правонарушения)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__________________________________________________________________________.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 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      (дата, подпись, инициалы и фамилия)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jc w:val="right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Приложение N 2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jc w:val="right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            ЖУРНАЛ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 регистрации уведомлений о фактах обращения в целях склонения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 государственного или муниципального служащего к совершению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   коррупционных правонарушений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 ___________________________________________________________________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 (наименование государственного или органа местного самоуправления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                    (аппарата избирательной комиссии))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tbl>
      <w:tblPr>
        <w:tblW w:w="0" w:type="auto"/>
        <w:tblInd w:w="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"/>
        <w:gridCol w:w="1454"/>
        <w:gridCol w:w="825"/>
        <w:gridCol w:w="1682"/>
        <w:gridCol w:w="1148"/>
        <w:gridCol w:w="1243"/>
        <w:gridCol w:w="1359"/>
        <w:gridCol w:w="1359"/>
      </w:tblGrid>
      <w:tr w:rsidR="00537534" w:rsidRPr="00537534" w:rsidTr="00537534">
        <w:tc>
          <w:tcPr>
            <w:tcW w:w="345" w:type="dxa"/>
            <w:vMerge w:val="restart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lastRenderedPageBreak/>
              <w:t>N</w:t>
            </w:r>
          </w:p>
        </w:tc>
        <w:tc>
          <w:tcPr>
            <w:tcW w:w="1575" w:type="dxa"/>
            <w:vMerge w:val="restart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Номер, дата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уведомления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(указывается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номер и дата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талона-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уведомления)</w:t>
            </w:r>
          </w:p>
        </w:tc>
        <w:tc>
          <w:tcPr>
            <w:tcW w:w="5310" w:type="dxa"/>
            <w:gridSpan w:val="4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     Сведения о государственном или   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  муниципальном служащем, направившем 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              уведомление               </w:t>
            </w:r>
          </w:p>
        </w:tc>
        <w:tc>
          <w:tcPr>
            <w:tcW w:w="1470" w:type="dxa"/>
            <w:vMerge w:val="restart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 Краткое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содержание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уведомления</w:t>
            </w:r>
          </w:p>
        </w:tc>
        <w:tc>
          <w:tcPr>
            <w:tcW w:w="1470" w:type="dxa"/>
            <w:vMerge w:val="restart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 Ф.И.О.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  лица,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принявшего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уведомление</w:t>
            </w:r>
          </w:p>
        </w:tc>
      </w:tr>
      <w:tr w:rsidR="00537534" w:rsidRPr="00537534" w:rsidTr="00537534">
        <w:tc>
          <w:tcPr>
            <w:tcW w:w="0" w:type="auto"/>
            <w:vMerge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vAlign w:val="center"/>
            <w:hideMark/>
          </w:tcPr>
          <w:p w:rsidR="00537534" w:rsidRPr="00537534" w:rsidRDefault="00537534" w:rsidP="00537534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vAlign w:val="center"/>
            <w:hideMark/>
          </w:tcPr>
          <w:p w:rsidR="00537534" w:rsidRPr="00537534" w:rsidRDefault="00537534" w:rsidP="00537534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Ф.И.О.</w:t>
            </w:r>
          </w:p>
        </w:tc>
        <w:tc>
          <w:tcPr>
            <w:tcW w:w="181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 документ,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удостоверяющий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личность, -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  паспорт 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гражданина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Российской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Федерации;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служебное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удостоверение</w:t>
            </w:r>
          </w:p>
        </w:tc>
        <w:tc>
          <w:tcPr>
            <w:tcW w:w="124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должность</w:t>
            </w:r>
          </w:p>
        </w:tc>
        <w:tc>
          <w:tcPr>
            <w:tcW w:w="135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контактный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 номер  </w:t>
            </w: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br/>
              <w:t> телефона</w:t>
            </w:r>
          </w:p>
        </w:tc>
        <w:tc>
          <w:tcPr>
            <w:tcW w:w="0" w:type="auto"/>
            <w:vMerge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vAlign w:val="center"/>
            <w:hideMark/>
          </w:tcPr>
          <w:p w:rsidR="00537534" w:rsidRPr="00537534" w:rsidRDefault="00537534" w:rsidP="00537534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vAlign w:val="center"/>
            <w:hideMark/>
          </w:tcPr>
          <w:p w:rsidR="00537534" w:rsidRPr="00537534" w:rsidRDefault="00537534" w:rsidP="00537534">
            <w:pPr>
              <w:spacing w:after="0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</w:p>
        </w:tc>
      </w:tr>
      <w:tr w:rsidR="00537534" w:rsidRPr="00537534" w:rsidTr="00537534">
        <w:tc>
          <w:tcPr>
            <w:tcW w:w="34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57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90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81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24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35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47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47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</w:tr>
      <w:tr w:rsidR="00537534" w:rsidRPr="00537534" w:rsidTr="00537534">
        <w:tc>
          <w:tcPr>
            <w:tcW w:w="34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57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90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81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245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35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47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  <w:tc>
          <w:tcPr>
            <w:tcW w:w="1470" w:type="dxa"/>
            <w:tcBorders>
              <w:top w:val="single" w:sz="4" w:space="0" w:color="B8DBFE"/>
              <w:left w:val="single" w:sz="4" w:space="0" w:color="B8DBFE"/>
              <w:bottom w:val="single" w:sz="4" w:space="0" w:color="B8DBFE"/>
              <w:right w:val="single" w:sz="4" w:space="0" w:color="B8DBFE"/>
            </w:tcBorders>
            <w:shd w:val="clear" w:color="auto" w:fill="FFFFFF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7534" w:rsidRPr="00537534" w:rsidRDefault="00537534" w:rsidP="00537534">
            <w:pPr>
              <w:spacing w:before="112" w:after="112" w:line="240" w:lineRule="auto"/>
              <w:rPr>
                <w:rFonts w:ascii="Arial" w:eastAsia="Times New Roman" w:hAnsi="Arial" w:cs="Arial"/>
                <w:color w:val="0E2F43"/>
                <w:sz w:val="10"/>
                <w:szCs w:val="10"/>
              </w:rPr>
            </w:pPr>
            <w:r w:rsidRPr="00537534">
              <w:rPr>
                <w:rFonts w:ascii="Arial" w:eastAsia="Times New Roman" w:hAnsi="Arial" w:cs="Arial"/>
                <w:color w:val="0E2F43"/>
                <w:sz w:val="10"/>
                <w:szCs w:val="10"/>
              </w:rPr>
              <w:t> </w:t>
            </w:r>
          </w:p>
        </w:tc>
      </w:tr>
    </w:tbl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jc w:val="right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Приложение N 3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 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 ТАЛОН-КОРЕШОК            │         ТАЛОН-УВЕДОМЛЕНИЕ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                      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 N __________            │            N __________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                      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 Уведомление принято от ___________│  Уведомление принято от 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 (Ф.И.О. государственного или     │   (Ф.И.О. государственного или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 муниципального служащего)      │     муниципального служащего)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                              │                       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 Краткое содержание уведомления ___│  Краткое содержание уведомления 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                                   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 Уведомление принято: 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 (подпись и должность лица,     │(Ф.И.О., должность лица, принявшего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 принявшего уведомление)       │           уведомление)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 "__" _______________ 200_ г.    │         (номер по Журналу)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                                   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   "__" _______________ 200_ г.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│____________________________________│                       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 (подпись лица, получившего талон-  │____________________________________│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 уведомление)            │   (подпись государственного или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 xml:space="preserve">│                                    </w:t>
      </w:r>
      <w:proofErr w:type="spellStart"/>
      <w:r w:rsidRPr="00537534">
        <w:rPr>
          <w:rFonts w:ascii="Arial" w:eastAsia="Times New Roman" w:hAnsi="Arial" w:cs="Arial"/>
          <w:color w:val="0E2F43"/>
          <w:sz w:val="10"/>
          <w:szCs w:val="10"/>
        </w:rPr>
        <w:t>│муниципального</w:t>
      </w:r>
      <w:proofErr w:type="spellEnd"/>
      <w:r w:rsidRPr="00537534">
        <w:rPr>
          <w:rFonts w:ascii="Arial" w:eastAsia="Times New Roman" w:hAnsi="Arial" w:cs="Arial"/>
          <w:color w:val="0E2F43"/>
          <w:sz w:val="10"/>
          <w:szCs w:val="10"/>
        </w:rPr>
        <w:t xml:space="preserve"> служащего, </w:t>
      </w:r>
      <w:proofErr w:type="spellStart"/>
      <w:r w:rsidRPr="00537534">
        <w:rPr>
          <w:rFonts w:ascii="Arial" w:eastAsia="Times New Roman" w:hAnsi="Arial" w:cs="Arial"/>
          <w:color w:val="0E2F43"/>
          <w:sz w:val="10"/>
          <w:szCs w:val="10"/>
        </w:rPr>
        <w:t>принявшего│</w:t>
      </w:r>
      <w:proofErr w:type="spellEnd"/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 "__" _______________ 200_ г.    │            уведомление)            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│                                    │                                    │</w:t>
      </w:r>
    </w:p>
    <w:p w:rsidR="00537534" w:rsidRPr="00537534" w:rsidRDefault="00537534" w:rsidP="00537534">
      <w:pPr>
        <w:shd w:val="clear" w:color="auto" w:fill="FFFFFF"/>
        <w:spacing w:before="112" w:after="112" w:line="240" w:lineRule="auto"/>
        <w:rPr>
          <w:rFonts w:ascii="Arial" w:eastAsia="Times New Roman" w:hAnsi="Arial" w:cs="Arial"/>
          <w:color w:val="0E2F43"/>
          <w:sz w:val="10"/>
          <w:szCs w:val="10"/>
        </w:rPr>
      </w:pPr>
      <w:r w:rsidRPr="00537534">
        <w:rPr>
          <w:rFonts w:ascii="Arial" w:eastAsia="Times New Roman" w:hAnsi="Arial" w:cs="Arial"/>
          <w:color w:val="0E2F43"/>
          <w:sz w:val="10"/>
          <w:szCs w:val="10"/>
        </w:rPr>
        <w:t>└────────────────────────────────────┴─────────────────────────</w:t>
      </w:r>
    </w:p>
    <w:p w:rsidR="00BC3497" w:rsidRPr="00BE7D20" w:rsidRDefault="00BC3497" w:rsidP="00245AB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C3497" w:rsidRPr="00BE7D20" w:rsidSect="009E75B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5432A"/>
    <w:rsid w:val="00192E9E"/>
    <w:rsid w:val="001E1D30"/>
    <w:rsid w:val="001F1EBE"/>
    <w:rsid w:val="00245AB3"/>
    <w:rsid w:val="002B1A8C"/>
    <w:rsid w:val="002C1B1D"/>
    <w:rsid w:val="002F7E73"/>
    <w:rsid w:val="00327059"/>
    <w:rsid w:val="003318B0"/>
    <w:rsid w:val="00403123"/>
    <w:rsid w:val="00412DEE"/>
    <w:rsid w:val="00537534"/>
    <w:rsid w:val="005846F6"/>
    <w:rsid w:val="005F56F7"/>
    <w:rsid w:val="0065380C"/>
    <w:rsid w:val="00885D51"/>
    <w:rsid w:val="0095432A"/>
    <w:rsid w:val="009C02D9"/>
    <w:rsid w:val="009E75B2"/>
    <w:rsid w:val="00A5516E"/>
    <w:rsid w:val="00AE15B3"/>
    <w:rsid w:val="00B469C8"/>
    <w:rsid w:val="00BA4F6B"/>
    <w:rsid w:val="00BC3497"/>
    <w:rsid w:val="00BE7D20"/>
    <w:rsid w:val="00CA338C"/>
    <w:rsid w:val="00D5481D"/>
    <w:rsid w:val="00F172B9"/>
    <w:rsid w:val="00F2635B"/>
    <w:rsid w:val="00FB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53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3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fms_che</dc:creator>
  <cp:keywords/>
  <dc:description/>
  <cp:lastModifiedBy>user</cp:lastModifiedBy>
  <cp:revision>23</cp:revision>
  <cp:lastPrinted>2019-11-29T09:29:00Z</cp:lastPrinted>
  <dcterms:created xsi:type="dcterms:W3CDTF">2019-01-18T11:37:00Z</dcterms:created>
  <dcterms:modified xsi:type="dcterms:W3CDTF">2019-12-05T13:13:00Z</dcterms:modified>
</cp:coreProperties>
</file>